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9A" w:rsidRDefault="0018379A" w:rsidP="0018379A">
      <w:pPr>
        <w:jc w:val="center"/>
        <w:rPr>
          <w:b/>
          <w:sz w:val="24"/>
          <w:szCs w:val="24"/>
          <w:u w:val="single"/>
        </w:rPr>
      </w:pPr>
      <w:r>
        <w:rPr>
          <w:noProof/>
          <w:sz w:val="32"/>
          <w:szCs w:val="32"/>
        </w:rPr>
        <w:drawing>
          <wp:anchor distT="0" distB="0" distL="114300" distR="114300" simplePos="0" relativeHeight="251658240" behindDoc="1" locked="0" layoutInCell="1" allowOverlap="1" wp14:anchorId="5D49471B" wp14:editId="5F39ADF3">
            <wp:simplePos x="0" y="0"/>
            <wp:positionH relativeFrom="column">
              <wp:posOffset>7645400</wp:posOffset>
            </wp:positionH>
            <wp:positionV relativeFrom="paragraph">
              <wp:posOffset>220980</wp:posOffset>
            </wp:positionV>
            <wp:extent cx="1524000" cy="1333500"/>
            <wp:effectExtent l="0" t="0" r="0" b="0"/>
            <wp:wrapNone/>
            <wp:docPr id="2" name="Picture 1" descr="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85008D" w:rsidRPr="0018379A" w:rsidRDefault="0018379A" w:rsidP="0018379A">
      <w:pPr>
        <w:jc w:val="center"/>
        <w:rPr>
          <w:b/>
          <w:sz w:val="36"/>
          <w:szCs w:val="36"/>
          <w:u w:val="single"/>
        </w:rPr>
      </w:pPr>
      <w:r w:rsidRPr="0018379A">
        <w:rPr>
          <w:b/>
          <w:sz w:val="36"/>
          <w:szCs w:val="36"/>
          <w:u w:val="single"/>
        </w:rPr>
        <w:t>Wycliffe C of E Primary School</w:t>
      </w:r>
    </w:p>
    <w:p w:rsidR="0018379A" w:rsidRPr="0018379A" w:rsidRDefault="0018379A" w:rsidP="0018379A">
      <w:pPr>
        <w:jc w:val="center"/>
        <w:rPr>
          <w:b/>
          <w:sz w:val="36"/>
          <w:szCs w:val="36"/>
          <w:u w:val="single"/>
        </w:rPr>
      </w:pPr>
      <w:r w:rsidRPr="0018379A">
        <w:rPr>
          <w:b/>
          <w:sz w:val="36"/>
          <w:szCs w:val="36"/>
          <w:u w:val="single"/>
        </w:rPr>
        <w:t>Accessibility Plan 2017</w:t>
      </w:r>
    </w:p>
    <w:p w:rsidR="0018379A" w:rsidRPr="0018379A" w:rsidRDefault="0018379A" w:rsidP="0018379A">
      <w:pPr>
        <w:rPr>
          <w:b/>
          <w:sz w:val="32"/>
          <w:szCs w:val="32"/>
          <w:u w:val="single"/>
        </w:rPr>
      </w:pPr>
    </w:p>
    <w:p w:rsidR="0018379A" w:rsidRPr="0018379A" w:rsidRDefault="0018379A" w:rsidP="0018379A">
      <w:pPr>
        <w:rPr>
          <w:b/>
          <w:sz w:val="32"/>
          <w:szCs w:val="32"/>
          <w:u w:val="single"/>
        </w:rPr>
      </w:pPr>
    </w:p>
    <w:p w:rsidR="0018379A" w:rsidRPr="0018379A" w:rsidRDefault="0018379A" w:rsidP="0018379A">
      <w:pPr>
        <w:rPr>
          <w:b/>
          <w:sz w:val="32"/>
          <w:szCs w:val="32"/>
          <w:u w:val="single"/>
        </w:rPr>
      </w:pPr>
      <w:r w:rsidRPr="0018379A">
        <w:rPr>
          <w:b/>
          <w:sz w:val="32"/>
          <w:szCs w:val="32"/>
          <w:u w:val="single"/>
        </w:rPr>
        <w:t>Introduction</w:t>
      </w:r>
    </w:p>
    <w:p w:rsidR="00B4067D" w:rsidRDefault="0018379A" w:rsidP="0018379A">
      <w:pPr>
        <w:rPr>
          <w:iCs/>
          <w:sz w:val="32"/>
          <w:szCs w:val="32"/>
        </w:rPr>
      </w:pPr>
      <w:r w:rsidRPr="0018379A">
        <w:rPr>
          <w:iCs/>
          <w:sz w:val="32"/>
          <w:szCs w:val="32"/>
        </w:rPr>
        <w:t xml:space="preserve">As a fully inclusive school, we at Wycliffe undertake to make every effort to ensure that our school is accessible to all.  We will work hard to ensure that pupils with additional needs are fully accommodated and that they are given the appropriate support to access all school activities, both on and off site. </w:t>
      </w:r>
      <w:r w:rsidR="00B4067D">
        <w:rPr>
          <w:iCs/>
          <w:sz w:val="32"/>
          <w:szCs w:val="32"/>
        </w:rPr>
        <w:t xml:space="preserve"> Recent building work has been completed with this in mind, and all areas of the school in regular use are accessible by ramps.  </w:t>
      </w:r>
    </w:p>
    <w:p w:rsidR="0018379A" w:rsidRPr="0018379A" w:rsidRDefault="0018379A" w:rsidP="0018379A">
      <w:pPr>
        <w:rPr>
          <w:iCs/>
          <w:sz w:val="32"/>
          <w:szCs w:val="32"/>
        </w:rPr>
      </w:pPr>
      <w:r w:rsidRPr="0018379A">
        <w:rPr>
          <w:iCs/>
          <w:sz w:val="32"/>
          <w:szCs w:val="32"/>
        </w:rPr>
        <w:t xml:space="preserve"> </w:t>
      </w:r>
      <w:r w:rsidRPr="0018379A">
        <w:rPr>
          <w:iCs/>
          <w:sz w:val="32"/>
          <w:szCs w:val="32"/>
        </w:rPr>
        <w:t xml:space="preserve">This Accessibility Plan </w:t>
      </w:r>
      <w:r w:rsidRPr="0018379A">
        <w:rPr>
          <w:iCs/>
          <w:sz w:val="32"/>
          <w:szCs w:val="32"/>
        </w:rPr>
        <w:t>is</w:t>
      </w:r>
      <w:r w:rsidRPr="0018379A">
        <w:rPr>
          <w:iCs/>
          <w:sz w:val="32"/>
          <w:szCs w:val="32"/>
        </w:rPr>
        <w:t xml:space="preserv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18379A" w:rsidRDefault="0018379A" w:rsidP="0018379A">
      <w:pPr>
        <w:rPr>
          <w:iCs/>
          <w:sz w:val="24"/>
          <w:szCs w:val="24"/>
        </w:rPr>
      </w:pPr>
    </w:p>
    <w:p w:rsidR="0018379A" w:rsidRDefault="0018379A" w:rsidP="0018379A">
      <w:pPr>
        <w:rPr>
          <w:iCs/>
          <w:sz w:val="24"/>
          <w:szCs w:val="24"/>
        </w:rPr>
      </w:pPr>
    </w:p>
    <w:tbl>
      <w:tblPr>
        <w:tblStyle w:val="TableGrid"/>
        <w:tblpPr w:leftFromText="180" w:rightFromText="180" w:vertAnchor="page" w:horzAnchor="margin" w:tblpY="1798"/>
        <w:tblW w:w="0" w:type="auto"/>
        <w:tblLook w:val="01E0" w:firstRow="1" w:lastRow="1" w:firstColumn="1" w:lastColumn="1" w:noHBand="0" w:noVBand="0"/>
      </w:tblPr>
      <w:tblGrid>
        <w:gridCol w:w="3708"/>
        <w:gridCol w:w="5472"/>
        <w:gridCol w:w="1560"/>
        <w:gridCol w:w="3408"/>
      </w:tblGrid>
      <w:tr w:rsidR="0018379A" w:rsidRPr="00E72A28" w:rsidTr="0084785D">
        <w:tc>
          <w:tcPr>
            <w:tcW w:w="3708" w:type="dxa"/>
          </w:tcPr>
          <w:p w:rsidR="0018379A" w:rsidRPr="0018379A" w:rsidRDefault="0018379A" w:rsidP="0018379A">
            <w:pPr>
              <w:spacing w:before="120" w:after="120"/>
              <w:jc w:val="center"/>
              <w:rPr>
                <w:rFonts w:asciiTheme="minorHAnsi" w:hAnsiTheme="minorHAnsi" w:cs="Arial"/>
                <w:b/>
                <w:sz w:val="28"/>
                <w:szCs w:val="28"/>
              </w:rPr>
            </w:pPr>
            <w:r w:rsidRPr="0018379A">
              <w:rPr>
                <w:rFonts w:asciiTheme="minorHAnsi" w:hAnsiTheme="minorHAnsi" w:cs="Arial"/>
                <w:b/>
                <w:sz w:val="28"/>
                <w:szCs w:val="28"/>
              </w:rPr>
              <w:lastRenderedPageBreak/>
              <w:t>Target</w:t>
            </w:r>
          </w:p>
        </w:tc>
        <w:tc>
          <w:tcPr>
            <w:tcW w:w="5472" w:type="dxa"/>
          </w:tcPr>
          <w:p w:rsidR="0018379A" w:rsidRPr="0018379A" w:rsidRDefault="0018379A" w:rsidP="0018379A">
            <w:pPr>
              <w:spacing w:before="120" w:after="120"/>
              <w:jc w:val="center"/>
              <w:rPr>
                <w:rFonts w:asciiTheme="minorHAnsi" w:hAnsiTheme="minorHAnsi" w:cs="Arial"/>
                <w:b/>
                <w:sz w:val="28"/>
                <w:szCs w:val="28"/>
              </w:rPr>
            </w:pPr>
            <w:r w:rsidRPr="0018379A">
              <w:rPr>
                <w:rFonts w:asciiTheme="minorHAnsi" w:hAnsiTheme="minorHAnsi" w:cs="Arial"/>
                <w:b/>
                <w:sz w:val="28"/>
                <w:szCs w:val="28"/>
              </w:rPr>
              <w:t>Action</w:t>
            </w:r>
          </w:p>
        </w:tc>
        <w:tc>
          <w:tcPr>
            <w:tcW w:w="1560" w:type="dxa"/>
          </w:tcPr>
          <w:p w:rsidR="0018379A" w:rsidRPr="0018379A" w:rsidRDefault="0018379A" w:rsidP="0018379A">
            <w:pPr>
              <w:spacing w:before="120" w:after="120"/>
              <w:jc w:val="center"/>
              <w:rPr>
                <w:rFonts w:asciiTheme="minorHAnsi" w:hAnsiTheme="minorHAnsi" w:cs="Arial"/>
                <w:b/>
                <w:sz w:val="28"/>
                <w:szCs w:val="28"/>
              </w:rPr>
            </w:pPr>
            <w:r w:rsidRPr="0018379A">
              <w:rPr>
                <w:rFonts w:asciiTheme="minorHAnsi" w:hAnsiTheme="minorHAnsi" w:cs="Arial"/>
                <w:b/>
                <w:sz w:val="28"/>
                <w:szCs w:val="28"/>
              </w:rPr>
              <w:t>Monitoring</w:t>
            </w:r>
          </w:p>
        </w:tc>
        <w:tc>
          <w:tcPr>
            <w:tcW w:w="3408" w:type="dxa"/>
          </w:tcPr>
          <w:p w:rsidR="0018379A" w:rsidRPr="0018379A" w:rsidRDefault="0018379A" w:rsidP="0018379A">
            <w:pPr>
              <w:spacing w:before="120" w:after="120"/>
              <w:jc w:val="center"/>
              <w:rPr>
                <w:rFonts w:asciiTheme="minorHAnsi" w:hAnsiTheme="minorHAnsi" w:cs="Arial"/>
                <w:b/>
                <w:sz w:val="28"/>
                <w:szCs w:val="28"/>
              </w:rPr>
            </w:pPr>
            <w:r w:rsidRPr="0018379A">
              <w:rPr>
                <w:rFonts w:asciiTheme="minorHAnsi" w:hAnsiTheme="minorHAnsi" w:cs="Arial"/>
                <w:b/>
                <w:sz w:val="28"/>
                <w:szCs w:val="28"/>
              </w:rPr>
              <w:t>Success Criteria</w:t>
            </w:r>
          </w:p>
        </w:tc>
      </w:tr>
      <w:tr w:rsidR="0018379A" w:rsidRPr="00E72A28" w:rsidTr="0084785D">
        <w:tc>
          <w:tcPr>
            <w:tcW w:w="3708" w:type="dxa"/>
          </w:tcPr>
          <w:p w:rsidR="0018379A" w:rsidRPr="0018379A" w:rsidRDefault="00B4067D" w:rsidP="00A35D21">
            <w:pPr>
              <w:rPr>
                <w:rFonts w:asciiTheme="minorHAnsi" w:hAnsiTheme="minorHAnsi" w:cs="Arial"/>
                <w:sz w:val="24"/>
                <w:szCs w:val="24"/>
              </w:rPr>
            </w:pPr>
            <w:r>
              <w:rPr>
                <w:rFonts w:asciiTheme="minorHAnsi" w:hAnsiTheme="minorHAnsi" w:cs="Arial"/>
                <w:sz w:val="24"/>
                <w:szCs w:val="24"/>
              </w:rPr>
              <w:t>To raise awareness of</w:t>
            </w:r>
            <w:r w:rsidR="0018379A" w:rsidRPr="0018379A">
              <w:rPr>
                <w:rFonts w:asciiTheme="minorHAnsi" w:hAnsiTheme="minorHAnsi" w:cs="Arial"/>
                <w:sz w:val="24"/>
                <w:szCs w:val="24"/>
              </w:rPr>
              <w:t xml:space="preserve"> inclusive practices, disability and how to remove barriers to learning, assessment and participation.</w:t>
            </w:r>
          </w:p>
          <w:p w:rsidR="0018379A" w:rsidRPr="0018379A" w:rsidRDefault="0018379A" w:rsidP="00A35D21">
            <w:pPr>
              <w:rPr>
                <w:rFonts w:asciiTheme="minorHAnsi" w:hAnsiTheme="minorHAnsi" w:cs="Arial"/>
                <w:sz w:val="24"/>
                <w:szCs w:val="24"/>
              </w:rPr>
            </w:pPr>
          </w:p>
        </w:tc>
        <w:tc>
          <w:tcPr>
            <w:tcW w:w="5472" w:type="dxa"/>
          </w:tcPr>
          <w:p w:rsidR="0018379A" w:rsidRPr="0018379A" w:rsidRDefault="0018379A" w:rsidP="0018379A">
            <w:pPr>
              <w:numPr>
                <w:ilvl w:val="0"/>
                <w:numId w:val="1"/>
              </w:numPr>
              <w:rPr>
                <w:rFonts w:asciiTheme="minorHAnsi" w:hAnsiTheme="minorHAnsi" w:cs="Arial"/>
                <w:sz w:val="24"/>
                <w:szCs w:val="24"/>
              </w:rPr>
            </w:pPr>
            <w:r w:rsidRPr="0018379A">
              <w:rPr>
                <w:rFonts w:asciiTheme="minorHAnsi" w:hAnsiTheme="minorHAnsi" w:cs="Arial"/>
                <w:sz w:val="24"/>
                <w:szCs w:val="24"/>
              </w:rPr>
              <w:t>SENCO to work alongside te</w:t>
            </w:r>
            <w:r w:rsidR="00B4067D">
              <w:rPr>
                <w:rFonts w:asciiTheme="minorHAnsi" w:hAnsiTheme="minorHAnsi" w:cs="Arial"/>
                <w:sz w:val="24"/>
                <w:szCs w:val="24"/>
              </w:rPr>
              <w:t>achers when preparing IEPs, PEPs and EHCPs</w:t>
            </w:r>
            <w:r w:rsidRPr="0018379A">
              <w:rPr>
                <w:rFonts w:asciiTheme="minorHAnsi" w:hAnsiTheme="minorHAnsi" w:cs="Arial"/>
                <w:sz w:val="24"/>
                <w:szCs w:val="24"/>
              </w:rPr>
              <w:t>.</w:t>
            </w:r>
          </w:p>
          <w:p w:rsidR="0018379A" w:rsidRPr="0018379A" w:rsidRDefault="0018379A" w:rsidP="0018379A">
            <w:pPr>
              <w:numPr>
                <w:ilvl w:val="0"/>
                <w:numId w:val="1"/>
              </w:numPr>
              <w:rPr>
                <w:rFonts w:asciiTheme="minorHAnsi" w:hAnsiTheme="minorHAnsi" w:cs="Arial"/>
                <w:sz w:val="24"/>
                <w:szCs w:val="24"/>
              </w:rPr>
            </w:pPr>
            <w:r w:rsidRPr="0018379A">
              <w:rPr>
                <w:rFonts w:asciiTheme="minorHAnsi" w:hAnsiTheme="minorHAnsi" w:cs="Arial"/>
                <w:sz w:val="24"/>
                <w:szCs w:val="24"/>
              </w:rPr>
              <w:t>Staff training to address relevant issues.</w:t>
            </w:r>
          </w:p>
          <w:p w:rsidR="0018379A" w:rsidRPr="0018379A" w:rsidRDefault="0018379A" w:rsidP="0018379A">
            <w:pPr>
              <w:numPr>
                <w:ilvl w:val="0"/>
                <w:numId w:val="1"/>
              </w:numPr>
              <w:rPr>
                <w:rFonts w:asciiTheme="minorHAnsi" w:hAnsiTheme="minorHAnsi" w:cs="Arial"/>
                <w:sz w:val="24"/>
                <w:szCs w:val="24"/>
              </w:rPr>
            </w:pPr>
            <w:r w:rsidRPr="0018379A">
              <w:rPr>
                <w:rFonts w:asciiTheme="minorHAnsi" w:hAnsiTheme="minorHAnsi" w:cs="Arial"/>
                <w:sz w:val="24"/>
                <w:szCs w:val="24"/>
              </w:rPr>
              <w:t>Make reasonable adjustments to visits and residential.</w:t>
            </w:r>
          </w:p>
        </w:tc>
        <w:tc>
          <w:tcPr>
            <w:tcW w:w="1560" w:type="dxa"/>
          </w:tcPr>
          <w:p w:rsidR="0018379A" w:rsidRPr="0018379A" w:rsidRDefault="00B4067D" w:rsidP="00A35D21">
            <w:pPr>
              <w:rPr>
                <w:rFonts w:asciiTheme="minorHAnsi" w:hAnsiTheme="minorHAnsi" w:cs="Arial"/>
                <w:sz w:val="24"/>
                <w:szCs w:val="24"/>
              </w:rPr>
            </w:pPr>
            <w:r>
              <w:rPr>
                <w:rFonts w:asciiTheme="minorHAnsi" w:hAnsiTheme="minorHAnsi" w:cs="Arial"/>
                <w:sz w:val="24"/>
                <w:szCs w:val="24"/>
              </w:rPr>
              <w:t xml:space="preserve">SLT, SENCO and SEND </w:t>
            </w:r>
            <w:r w:rsidR="0018379A" w:rsidRPr="0018379A">
              <w:rPr>
                <w:rFonts w:asciiTheme="minorHAnsi" w:hAnsiTheme="minorHAnsi" w:cs="Arial"/>
                <w:sz w:val="24"/>
                <w:szCs w:val="24"/>
              </w:rPr>
              <w:t>governor</w:t>
            </w:r>
          </w:p>
        </w:tc>
        <w:tc>
          <w:tcPr>
            <w:tcW w:w="34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All children to be fully included in all lessons and visits and make at least good progress.</w:t>
            </w:r>
          </w:p>
        </w:tc>
      </w:tr>
      <w:tr w:rsidR="0018379A" w:rsidRPr="00E72A28" w:rsidTr="0084785D">
        <w:tc>
          <w:tcPr>
            <w:tcW w:w="37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To provide a supervised ICT and homework club for those pupils who find it difficult to complete homework at home.</w:t>
            </w:r>
          </w:p>
          <w:p w:rsidR="0018379A" w:rsidRPr="0018379A" w:rsidRDefault="0018379A" w:rsidP="00A35D21">
            <w:pPr>
              <w:rPr>
                <w:rFonts w:asciiTheme="minorHAnsi" w:hAnsiTheme="minorHAnsi" w:cs="Arial"/>
                <w:sz w:val="24"/>
                <w:szCs w:val="24"/>
              </w:rPr>
            </w:pPr>
          </w:p>
          <w:p w:rsidR="0018379A" w:rsidRPr="0018379A" w:rsidRDefault="0018379A" w:rsidP="00A35D21">
            <w:pPr>
              <w:rPr>
                <w:rFonts w:asciiTheme="minorHAnsi" w:hAnsiTheme="minorHAnsi" w:cs="Arial"/>
                <w:sz w:val="24"/>
                <w:szCs w:val="24"/>
              </w:rPr>
            </w:pPr>
          </w:p>
        </w:tc>
        <w:tc>
          <w:tcPr>
            <w:tcW w:w="5472" w:type="dxa"/>
          </w:tcPr>
          <w:p w:rsidR="0018379A" w:rsidRDefault="00B4067D" w:rsidP="0018379A">
            <w:pPr>
              <w:numPr>
                <w:ilvl w:val="0"/>
                <w:numId w:val="2"/>
              </w:numPr>
              <w:rPr>
                <w:rFonts w:asciiTheme="minorHAnsi" w:hAnsiTheme="minorHAnsi" w:cs="Arial"/>
                <w:sz w:val="24"/>
                <w:szCs w:val="24"/>
              </w:rPr>
            </w:pPr>
            <w:r>
              <w:rPr>
                <w:rFonts w:asciiTheme="minorHAnsi" w:hAnsiTheme="minorHAnsi" w:cs="Arial"/>
                <w:sz w:val="24"/>
                <w:szCs w:val="24"/>
              </w:rPr>
              <w:t>Ensure ICT facilities are available for children to complete their homework if needed.</w:t>
            </w:r>
          </w:p>
          <w:p w:rsidR="00B4067D" w:rsidRPr="0018379A" w:rsidRDefault="00B4067D" w:rsidP="0018379A">
            <w:pPr>
              <w:numPr>
                <w:ilvl w:val="0"/>
                <w:numId w:val="2"/>
              </w:numPr>
              <w:rPr>
                <w:rFonts w:asciiTheme="minorHAnsi" w:hAnsiTheme="minorHAnsi" w:cs="Arial"/>
                <w:sz w:val="24"/>
                <w:szCs w:val="24"/>
              </w:rPr>
            </w:pPr>
            <w:r>
              <w:rPr>
                <w:rFonts w:asciiTheme="minorHAnsi" w:hAnsiTheme="minorHAnsi" w:cs="Arial"/>
                <w:sz w:val="24"/>
                <w:szCs w:val="24"/>
              </w:rPr>
              <w:t>Target children who may need extra help with homework and encourage them to attend the twice weekly homework club.</w:t>
            </w:r>
          </w:p>
        </w:tc>
        <w:tc>
          <w:tcPr>
            <w:tcW w:w="1560" w:type="dxa"/>
          </w:tcPr>
          <w:p w:rsidR="0018379A" w:rsidRPr="0018379A" w:rsidRDefault="00B4067D" w:rsidP="00A35D21">
            <w:pPr>
              <w:rPr>
                <w:rFonts w:asciiTheme="minorHAnsi" w:hAnsiTheme="minorHAnsi" w:cs="Arial"/>
                <w:sz w:val="24"/>
                <w:szCs w:val="24"/>
              </w:rPr>
            </w:pPr>
            <w:r>
              <w:rPr>
                <w:rFonts w:asciiTheme="minorHAnsi" w:hAnsiTheme="minorHAnsi" w:cs="Arial"/>
                <w:sz w:val="24"/>
                <w:szCs w:val="24"/>
              </w:rPr>
              <w:t>SLT</w:t>
            </w:r>
          </w:p>
        </w:tc>
        <w:tc>
          <w:tcPr>
            <w:tcW w:w="34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All children have access to a quiet time and</w:t>
            </w:r>
            <w:r w:rsidR="00B4067D">
              <w:rPr>
                <w:rFonts w:asciiTheme="minorHAnsi" w:hAnsiTheme="minorHAnsi" w:cs="Arial"/>
                <w:sz w:val="24"/>
                <w:szCs w:val="24"/>
              </w:rPr>
              <w:t xml:space="preserve"> place for homework activities.</w:t>
            </w:r>
          </w:p>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Children without ICT facilities at home are able</w:t>
            </w:r>
            <w:r w:rsidR="0084785D">
              <w:rPr>
                <w:rFonts w:asciiTheme="minorHAnsi" w:hAnsiTheme="minorHAnsi" w:cs="Arial"/>
                <w:sz w:val="24"/>
                <w:szCs w:val="24"/>
              </w:rPr>
              <w:t xml:space="preserve"> to access school’s facilities.</w:t>
            </w:r>
          </w:p>
        </w:tc>
      </w:tr>
      <w:tr w:rsidR="0018379A" w:rsidRPr="00E72A28" w:rsidTr="0084785D">
        <w:tc>
          <w:tcPr>
            <w:tcW w:w="37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To provide more visual guides to assist people to use the school and more information pictorially around the school.</w:t>
            </w:r>
            <w:bookmarkStart w:id="0" w:name="_GoBack"/>
            <w:bookmarkEnd w:id="0"/>
          </w:p>
        </w:tc>
        <w:tc>
          <w:tcPr>
            <w:tcW w:w="5472" w:type="dxa"/>
          </w:tcPr>
          <w:p w:rsidR="0018379A" w:rsidRPr="0018379A" w:rsidRDefault="0018379A" w:rsidP="0018379A">
            <w:pPr>
              <w:numPr>
                <w:ilvl w:val="0"/>
                <w:numId w:val="2"/>
              </w:numPr>
              <w:rPr>
                <w:rFonts w:asciiTheme="minorHAnsi" w:hAnsiTheme="minorHAnsi" w:cs="Arial"/>
                <w:sz w:val="24"/>
                <w:szCs w:val="24"/>
              </w:rPr>
            </w:pPr>
            <w:r w:rsidRPr="0018379A">
              <w:rPr>
                <w:rFonts w:asciiTheme="minorHAnsi" w:hAnsiTheme="minorHAnsi" w:cs="Arial"/>
                <w:sz w:val="24"/>
                <w:szCs w:val="24"/>
              </w:rPr>
              <w:t>All signage to be in pictorial format where appropriate.</w:t>
            </w:r>
          </w:p>
          <w:p w:rsidR="0018379A" w:rsidRPr="0018379A" w:rsidRDefault="0018379A" w:rsidP="0018379A">
            <w:pPr>
              <w:numPr>
                <w:ilvl w:val="0"/>
                <w:numId w:val="2"/>
              </w:numPr>
              <w:rPr>
                <w:rFonts w:asciiTheme="minorHAnsi" w:hAnsiTheme="minorHAnsi" w:cs="Arial"/>
                <w:sz w:val="24"/>
                <w:szCs w:val="24"/>
              </w:rPr>
            </w:pPr>
            <w:r w:rsidRPr="0018379A">
              <w:rPr>
                <w:rFonts w:asciiTheme="minorHAnsi" w:hAnsiTheme="minorHAnsi" w:cs="Arial"/>
                <w:sz w:val="24"/>
                <w:szCs w:val="24"/>
              </w:rPr>
              <w:t>Map showing escape routes and locations of fire extinguishers, in case of emergency, in each area.</w:t>
            </w:r>
          </w:p>
        </w:tc>
        <w:tc>
          <w:tcPr>
            <w:tcW w:w="1560"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Headteacher and Admin assistant</w:t>
            </w:r>
          </w:p>
        </w:tc>
        <w:tc>
          <w:tcPr>
            <w:tcW w:w="34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All people can access and navigate successfully around the school.</w:t>
            </w:r>
          </w:p>
        </w:tc>
      </w:tr>
      <w:tr w:rsidR="0018379A" w:rsidRPr="00312EB2" w:rsidTr="0084785D">
        <w:tc>
          <w:tcPr>
            <w:tcW w:w="37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To ensure information is available in appropriate formats for those who require it.</w:t>
            </w:r>
          </w:p>
          <w:p w:rsidR="0018379A" w:rsidRPr="0018379A" w:rsidRDefault="0018379A" w:rsidP="00A35D21">
            <w:pPr>
              <w:rPr>
                <w:rFonts w:asciiTheme="minorHAnsi" w:hAnsiTheme="minorHAnsi" w:cs="Arial"/>
                <w:sz w:val="24"/>
                <w:szCs w:val="24"/>
              </w:rPr>
            </w:pPr>
          </w:p>
        </w:tc>
        <w:tc>
          <w:tcPr>
            <w:tcW w:w="5472" w:type="dxa"/>
          </w:tcPr>
          <w:p w:rsidR="0018379A" w:rsidRPr="0018379A" w:rsidRDefault="00B4067D" w:rsidP="0018379A">
            <w:pPr>
              <w:numPr>
                <w:ilvl w:val="0"/>
                <w:numId w:val="2"/>
              </w:numPr>
              <w:rPr>
                <w:rFonts w:asciiTheme="minorHAnsi" w:hAnsiTheme="minorHAnsi" w:cs="Arial"/>
                <w:sz w:val="24"/>
                <w:szCs w:val="24"/>
              </w:rPr>
            </w:pPr>
            <w:r>
              <w:rPr>
                <w:rFonts w:asciiTheme="minorHAnsi" w:hAnsiTheme="minorHAnsi" w:cs="Arial"/>
                <w:sz w:val="24"/>
                <w:szCs w:val="24"/>
              </w:rPr>
              <w:t>Staff to provide information in a range of formats wherever possible, including visual and auditory for parents/carers with visual disabilities or reading issues.</w:t>
            </w:r>
          </w:p>
          <w:p w:rsidR="0018379A" w:rsidRPr="0018379A" w:rsidRDefault="0018379A" w:rsidP="0018379A">
            <w:pPr>
              <w:numPr>
                <w:ilvl w:val="0"/>
                <w:numId w:val="2"/>
              </w:numPr>
              <w:rPr>
                <w:rFonts w:asciiTheme="minorHAnsi" w:hAnsiTheme="minorHAnsi" w:cs="Arial"/>
                <w:sz w:val="24"/>
                <w:szCs w:val="24"/>
              </w:rPr>
            </w:pPr>
            <w:r w:rsidRPr="0018379A">
              <w:rPr>
                <w:rFonts w:asciiTheme="minorHAnsi" w:hAnsiTheme="minorHAnsi" w:cs="Arial"/>
                <w:sz w:val="24"/>
                <w:szCs w:val="24"/>
              </w:rPr>
              <w:t>Keep record of need.</w:t>
            </w:r>
          </w:p>
        </w:tc>
        <w:tc>
          <w:tcPr>
            <w:tcW w:w="1560" w:type="dxa"/>
          </w:tcPr>
          <w:p w:rsidR="0018379A" w:rsidRPr="0018379A" w:rsidRDefault="00B4067D" w:rsidP="00B4067D">
            <w:pPr>
              <w:rPr>
                <w:rFonts w:asciiTheme="minorHAnsi" w:hAnsiTheme="minorHAnsi" w:cs="Arial"/>
                <w:sz w:val="24"/>
                <w:szCs w:val="24"/>
              </w:rPr>
            </w:pPr>
            <w:r>
              <w:rPr>
                <w:rFonts w:asciiTheme="minorHAnsi" w:hAnsiTheme="minorHAnsi" w:cs="Arial"/>
                <w:sz w:val="24"/>
                <w:szCs w:val="24"/>
              </w:rPr>
              <w:t>SLT</w:t>
            </w:r>
          </w:p>
        </w:tc>
        <w:tc>
          <w:tcPr>
            <w:tcW w:w="3408" w:type="dxa"/>
          </w:tcPr>
          <w:p w:rsidR="0018379A" w:rsidRPr="0018379A" w:rsidRDefault="0018379A" w:rsidP="00A35D21">
            <w:pPr>
              <w:rPr>
                <w:rFonts w:asciiTheme="minorHAnsi" w:hAnsiTheme="minorHAnsi" w:cs="Arial"/>
                <w:sz w:val="24"/>
                <w:szCs w:val="24"/>
              </w:rPr>
            </w:pPr>
            <w:r w:rsidRPr="0018379A">
              <w:rPr>
                <w:rFonts w:asciiTheme="minorHAnsi" w:hAnsiTheme="minorHAnsi" w:cs="Arial"/>
                <w:sz w:val="24"/>
                <w:szCs w:val="24"/>
              </w:rPr>
              <w:t>All people have access to information in an appropriate format upon request.</w:t>
            </w:r>
          </w:p>
          <w:p w:rsidR="0018379A" w:rsidRPr="0018379A" w:rsidRDefault="0018379A" w:rsidP="00A35D21">
            <w:pPr>
              <w:ind w:firstLine="720"/>
              <w:rPr>
                <w:rFonts w:asciiTheme="minorHAnsi" w:hAnsiTheme="minorHAnsi" w:cs="Arial"/>
                <w:sz w:val="24"/>
                <w:szCs w:val="24"/>
              </w:rPr>
            </w:pPr>
          </w:p>
        </w:tc>
      </w:tr>
      <w:tr w:rsidR="00B4067D" w:rsidRPr="00312EB2" w:rsidTr="0084785D">
        <w:tc>
          <w:tcPr>
            <w:tcW w:w="3708" w:type="dxa"/>
          </w:tcPr>
          <w:p w:rsidR="00B4067D" w:rsidRPr="00B4067D" w:rsidRDefault="00B4067D" w:rsidP="00A35D21">
            <w:pPr>
              <w:rPr>
                <w:rFonts w:asciiTheme="minorHAnsi" w:hAnsiTheme="minorHAnsi" w:cs="Arial"/>
                <w:sz w:val="24"/>
                <w:szCs w:val="24"/>
              </w:rPr>
            </w:pPr>
            <w:r>
              <w:rPr>
                <w:rFonts w:asciiTheme="minorHAnsi" w:hAnsiTheme="minorHAnsi" w:cs="Arial"/>
                <w:sz w:val="24"/>
                <w:szCs w:val="24"/>
              </w:rPr>
              <w:t>To enhance access to the curriculum for all learners.</w:t>
            </w:r>
          </w:p>
        </w:tc>
        <w:tc>
          <w:tcPr>
            <w:tcW w:w="5472" w:type="dxa"/>
          </w:tcPr>
          <w:p w:rsidR="00B4067D" w:rsidRDefault="00B4067D" w:rsidP="0018379A">
            <w:pPr>
              <w:numPr>
                <w:ilvl w:val="0"/>
                <w:numId w:val="2"/>
              </w:numPr>
              <w:rPr>
                <w:rFonts w:cs="Arial"/>
                <w:sz w:val="24"/>
                <w:szCs w:val="24"/>
              </w:rPr>
            </w:pPr>
            <w:r>
              <w:rPr>
                <w:rFonts w:asciiTheme="minorHAnsi" w:hAnsiTheme="minorHAnsi" w:cs="Arial"/>
                <w:sz w:val="24"/>
                <w:szCs w:val="24"/>
              </w:rPr>
              <w:t>Staff to make appropriate adaptations to their classroom environments and practice to ensure that their lessons are accessible to all.  This should include the operation of a dyslexia and autism-friendly classroom.</w:t>
            </w:r>
          </w:p>
        </w:tc>
        <w:tc>
          <w:tcPr>
            <w:tcW w:w="1560" w:type="dxa"/>
          </w:tcPr>
          <w:p w:rsidR="00B4067D" w:rsidRPr="00B4067D" w:rsidRDefault="00B4067D" w:rsidP="00B4067D">
            <w:pPr>
              <w:rPr>
                <w:rFonts w:asciiTheme="minorHAnsi" w:hAnsiTheme="minorHAnsi" w:cs="Arial"/>
                <w:sz w:val="24"/>
                <w:szCs w:val="24"/>
              </w:rPr>
            </w:pPr>
            <w:r>
              <w:rPr>
                <w:rFonts w:asciiTheme="minorHAnsi" w:hAnsiTheme="minorHAnsi" w:cs="Arial"/>
                <w:sz w:val="24"/>
                <w:szCs w:val="24"/>
              </w:rPr>
              <w:t>Staff</w:t>
            </w:r>
          </w:p>
        </w:tc>
        <w:tc>
          <w:tcPr>
            <w:tcW w:w="3408" w:type="dxa"/>
          </w:tcPr>
          <w:p w:rsidR="00B4067D" w:rsidRPr="0084785D" w:rsidRDefault="0084785D" w:rsidP="00A35D21">
            <w:pPr>
              <w:rPr>
                <w:rFonts w:asciiTheme="minorHAnsi" w:hAnsiTheme="minorHAnsi" w:cs="Arial"/>
                <w:sz w:val="24"/>
                <w:szCs w:val="24"/>
              </w:rPr>
            </w:pPr>
            <w:r>
              <w:rPr>
                <w:rFonts w:asciiTheme="minorHAnsi" w:hAnsiTheme="minorHAnsi" w:cs="Arial"/>
                <w:sz w:val="24"/>
                <w:szCs w:val="24"/>
              </w:rPr>
              <w:t>Learners with a range of disabilities will enjoy full access to the curriculum.</w:t>
            </w:r>
          </w:p>
        </w:tc>
      </w:tr>
    </w:tbl>
    <w:p w:rsidR="0018379A" w:rsidRPr="0018379A" w:rsidRDefault="0018379A" w:rsidP="0018379A">
      <w:pPr>
        <w:rPr>
          <w:sz w:val="24"/>
          <w:szCs w:val="24"/>
        </w:rPr>
      </w:pPr>
    </w:p>
    <w:p w:rsidR="0018379A" w:rsidRPr="0018379A" w:rsidRDefault="0018379A" w:rsidP="0018379A">
      <w:pPr>
        <w:rPr>
          <w:b/>
          <w:sz w:val="24"/>
          <w:szCs w:val="24"/>
          <w:u w:val="single"/>
        </w:rPr>
      </w:pPr>
    </w:p>
    <w:sectPr w:rsidR="0018379A" w:rsidRPr="0018379A" w:rsidSect="001837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3703"/>
    <w:multiLevelType w:val="hybridMultilevel"/>
    <w:tmpl w:val="190C62EE"/>
    <w:lvl w:ilvl="0" w:tplc="9AE85874">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808F5"/>
    <w:multiLevelType w:val="hybridMultilevel"/>
    <w:tmpl w:val="7A0ECA22"/>
    <w:lvl w:ilvl="0" w:tplc="9AE85874">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A"/>
    <w:rsid w:val="0018379A"/>
    <w:rsid w:val="0084785D"/>
    <w:rsid w:val="0085008D"/>
    <w:rsid w:val="00B4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7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7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Sian Hughes</cp:lastModifiedBy>
  <cp:revision>1</cp:revision>
  <dcterms:created xsi:type="dcterms:W3CDTF">2017-02-23T22:25:00Z</dcterms:created>
  <dcterms:modified xsi:type="dcterms:W3CDTF">2017-02-23T22:49:00Z</dcterms:modified>
</cp:coreProperties>
</file>